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eastAsia="黑体"/>
          <w:sz w:val="36"/>
          <w:szCs w:val="36"/>
        </w:rPr>
      </w:pPr>
      <w:r>
        <w:rPr>
          <w:rFonts w:hint="eastAsia" w:ascii="黑体" w:eastAsia="黑体"/>
          <w:sz w:val="36"/>
          <w:szCs w:val="36"/>
          <w:lang w:val="en-US" w:eastAsia="zh-CN"/>
        </w:rPr>
        <w:t>协会</w:t>
      </w:r>
      <w:r>
        <w:rPr>
          <w:rFonts w:hint="eastAsia" w:ascii="黑体" w:eastAsia="黑体"/>
          <w:sz w:val="36"/>
          <w:szCs w:val="36"/>
        </w:rPr>
        <w:t>标准项目建议书</w:t>
      </w:r>
    </w:p>
    <w:tbl>
      <w:tblPr>
        <w:tblStyle w:val="6"/>
        <w:tblW w:w="90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476"/>
        <w:gridCol w:w="1080"/>
        <w:gridCol w:w="450"/>
        <w:gridCol w:w="26"/>
        <w:gridCol w:w="424"/>
        <w:gridCol w:w="1084"/>
        <w:gridCol w:w="1525"/>
        <w:gridCol w:w="84"/>
        <w:gridCol w:w="7"/>
        <w:gridCol w:w="1425"/>
        <w:gridCol w:w="15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rPr>
                <w:szCs w:val="24"/>
              </w:rPr>
            </w:pPr>
            <w:r>
              <w:rPr>
                <w:rFonts w:hint="eastAsia"/>
                <w:szCs w:val="24"/>
              </w:rPr>
              <w:t>建议项目名称</w:t>
            </w:r>
          </w:p>
          <w:p>
            <w:pPr>
              <w:ind w:hanging="13"/>
              <w:rPr>
                <w:sz w:val="18"/>
              </w:rPr>
            </w:pPr>
            <w:r>
              <w:rPr>
                <w:sz w:val="18"/>
              </w:rPr>
              <w:t>(</w:t>
            </w:r>
            <w:r>
              <w:rPr>
                <w:rFonts w:hint="eastAsia"/>
                <w:sz w:val="18"/>
              </w:rPr>
              <w:t>中文</w:t>
            </w:r>
            <w:r>
              <w:rPr>
                <w:sz w:val="18"/>
              </w:rPr>
              <w:t>)</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widowControl/>
            </w:pPr>
            <w:r>
              <w:rPr>
                <w:rFonts w:hint="eastAsia"/>
                <w:color w:val="000000"/>
                <w:sz w:val="20"/>
                <w:szCs w:val="20"/>
              </w:rPr>
              <w:t>产品碳足迹 产品</w:t>
            </w:r>
            <w:r>
              <w:rPr>
                <w:color w:val="000000"/>
                <w:sz w:val="20"/>
                <w:szCs w:val="20"/>
              </w:rPr>
              <w:t>种类规则</w:t>
            </w:r>
            <w:r>
              <w:rPr>
                <w:rFonts w:hint="eastAsia"/>
                <w:color w:val="000000"/>
                <w:sz w:val="20"/>
                <w:szCs w:val="20"/>
              </w:rPr>
              <w:t xml:space="preserve"> 石材</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建议项目名称</w:t>
            </w:r>
          </w:p>
          <w:p>
            <w:pPr>
              <w:rPr>
                <w:sz w:val="15"/>
              </w:rPr>
            </w:pPr>
            <w:r>
              <w:rPr>
                <w:sz w:val="18"/>
                <w:szCs w:val="18"/>
              </w:rPr>
              <w:t>(</w:t>
            </w:r>
            <w:r>
              <w:rPr>
                <w:rFonts w:hint="eastAsia"/>
                <w:sz w:val="18"/>
                <w:szCs w:val="18"/>
              </w:rPr>
              <w:t>英文</w:t>
            </w:r>
            <w:r>
              <w:rPr>
                <w:sz w:val="18"/>
                <w:szCs w:val="18"/>
              </w:rPr>
              <w:t>)</w:t>
            </w:r>
          </w:p>
        </w:tc>
        <w:tc>
          <w:tcPr>
            <w:tcW w:w="2942" w:type="dxa"/>
            <w:gridSpan w:val="2"/>
            <w:tcBorders>
              <w:top w:val="single" w:color="auto" w:sz="4" w:space="0"/>
              <w:left w:val="single" w:color="auto" w:sz="4" w:space="0"/>
              <w:bottom w:val="single" w:color="auto" w:sz="4" w:space="0"/>
              <w:right w:val="single" w:color="auto" w:sz="4" w:space="0"/>
            </w:tcBorders>
            <w:vAlign w:val="center"/>
          </w:tcPr>
          <w:p>
            <w:r>
              <w:t xml:space="preserve">Product carbon footprint  product category rule for </w:t>
            </w:r>
            <w:r>
              <w:rPr>
                <w:rFonts w:hint="eastAsia"/>
              </w:rPr>
              <w:t xml:space="preserve">stone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制定或修订</w:t>
            </w:r>
          </w:p>
        </w:tc>
        <w:tc>
          <w:tcPr>
            <w:tcW w:w="1530" w:type="dxa"/>
            <w:gridSpan w:val="2"/>
            <w:tcBorders>
              <w:top w:val="single" w:color="auto" w:sz="4" w:space="0"/>
              <w:left w:val="single" w:color="auto" w:sz="4" w:space="0"/>
              <w:bottom w:val="single" w:color="auto" w:sz="4" w:space="0"/>
              <w:right w:val="single" w:color="auto" w:sz="4" w:space="0"/>
            </w:tcBorders>
            <w:vAlign w:val="center"/>
          </w:tcPr>
          <w:p>
            <w:pPr>
              <w:ind w:firstLine="210" w:firstLineChars="100"/>
              <w:rPr>
                <w:sz w:val="18"/>
              </w:rPr>
            </w:pPr>
            <w:r>
              <w:rPr>
                <w:rFonts w:ascii="Wingdings 2" w:hAnsi="Wingdings 2"/>
                <w:szCs w:val="21"/>
              </w:rPr>
              <w:t></w:t>
            </w:r>
            <w:r>
              <w:rPr>
                <w:rFonts w:hint="eastAsia"/>
                <w:sz w:val="18"/>
              </w:rPr>
              <w:t>制定</w:t>
            </w:r>
          </w:p>
        </w:tc>
        <w:tc>
          <w:tcPr>
            <w:tcW w:w="1534"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rFonts w:hint="eastAsia" w:ascii="宋体" w:hAnsi="宋体"/>
                <w:szCs w:val="21"/>
              </w:rPr>
              <w:t>□</w:t>
            </w:r>
            <w:r>
              <w:rPr>
                <w:rFonts w:hint="eastAsia"/>
                <w:sz w:val="18"/>
              </w:rPr>
              <w:t>修订</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被修订标准号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采用程度</w:t>
            </w:r>
          </w:p>
        </w:tc>
        <w:tc>
          <w:tcPr>
            <w:tcW w:w="108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ascii="宋体" w:hAnsi="宋体"/>
                <w:szCs w:val="21"/>
              </w:rPr>
              <w:t>□</w:t>
            </w:r>
            <w:r>
              <w:rPr>
                <w:sz w:val="18"/>
              </w:rPr>
              <w:t>IDT</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rFonts w:hint="eastAsia" w:ascii="宋体" w:hAnsi="宋体"/>
                <w:szCs w:val="21"/>
              </w:rPr>
              <w:t>□</w:t>
            </w:r>
            <w:r>
              <w:rPr>
                <w:sz w:val="18"/>
              </w:rPr>
              <w:t>MOD</w:t>
            </w:r>
          </w:p>
        </w:tc>
        <w:tc>
          <w:tcPr>
            <w:tcW w:w="1084"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ascii="宋体" w:hAnsi="宋体"/>
                <w:szCs w:val="21"/>
              </w:rPr>
              <w:t>□</w:t>
            </w:r>
            <w:r>
              <w:rPr>
                <w:sz w:val="18"/>
              </w:rPr>
              <w:t>NEQ</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采标号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rPr>
                <w:szCs w:val="24"/>
              </w:rPr>
            </w:pPr>
            <w:r>
              <w:rPr>
                <w:rFonts w:hint="eastAsia"/>
              </w:rPr>
              <w:t>国际标准</w:t>
            </w:r>
            <w:r>
              <w:rPr>
                <w:rFonts w:hint="eastAsia"/>
                <w:szCs w:val="24"/>
              </w:rPr>
              <w:t>名称</w:t>
            </w:r>
          </w:p>
          <w:p>
            <w:pPr>
              <w:rPr>
                <w:sz w:val="18"/>
              </w:rPr>
            </w:pPr>
            <w:r>
              <w:rPr>
                <w:sz w:val="18"/>
              </w:rPr>
              <w:t>(</w:t>
            </w:r>
            <w:r>
              <w:rPr>
                <w:rFonts w:hint="eastAsia"/>
                <w:sz w:val="18"/>
              </w:rPr>
              <w:t>中文</w:t>
            </w:r>
            <w:r>
              <w:rPr>
                <w:sz w:val="18"/>
              </w:rPr>
              <w:t>)</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无</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国际标准名称</w:t>
            </w:r>
          </w:p>
          <w:p>
            <w:pPr>
              <w:rPr>
                <w:sz w:val="18"/>
              </w:rPr>
            </w:pPr>
            <w:r>
              <w:rPr>
                <w:sz w:val="18"/>
                <w:szCs w:val="18"/>
              </w:rPr>
              <w:t>(</w:t>
            </w:r>
            <w:r>
              <w:rPr>
                <w:rFonts w:hint="eastAsia"/>
                <w:sz w:val="18"/>
                <w:szCs w:val="18"/>
              </w:rPr>
              <w:t>英文</w:t>
            </w:r>
            <w:r>
              <w:rPr>
                <w:sz w:val="18"/>
                <w:szCs w:val="18"/>
              </w:rPr>
              <w:t>)</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sz w:val="18"/>
              </w:rPr>
              <w:t>ICS</w:t>
            </w:r>
            <w:r>
              <w:rPr>
                <w:rFonts w:hint="eastAsia"/>
                <w:sz w:val="18"/>
              </w:rPr>
              <w:t>分类号</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91.100.15</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中国标准分类号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sz w:val="18"/>
              </w:rPr>
              <w:t>Q</w:t>
            </w:r>
            <w:r>
              <w:rPr>
                <w:rFonts w:hint="eastAsia"/>
                <w:sz w:val="18"/>
              </w:rPr>
              <w:t>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标准主要起草单位</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北京国建联信认证中心有限公司、北京工业大学、建筑材料工业技术情报研究所</w:t>
            </w:r>
          </w:p>
        </w:tc>
        <w:tc>
          <w:tcPr>
            <w:tcW w:w="1609"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计划起止时间</w:t>
            </w:r>
          </w:p>
        </w:tc>
        <w:tc>
          <w:tcPr>
            <w:tcW w:w="2949" w:type="dxa"/>
            <w:gridSpan w:val="3"/>
            <w:tcBorders>
              <w:top w:val="single" w:color="auto" w:sz="4" w:space="0"/>
              <w:left w:val="single" w:color="auto" w:sz="4" w:space="0"/>
              <w:bottom w:val="single" w:color="auto" w:sz="4" w:space="0"/>
              <w:right w:val="single" w:color="auto" w:sz="4" w:space="0"/>
            </w:tcBorders>
            <w:vAlign w:val="center"/>
          </w:tcPr>
          <w:p>
            <w:pPr>
              <w:rPr>
                <w:rFonts w:hint="default" w:eastAsia="宋体"/>
                <w:sz w:val="18"/>
                <w:lang w:val="en-US" w:eastAsia="zh-CN"/>
              </w:rPr>
            </w:pPr>
            <w:r>
              <w:rPr>
                <w:rFonts w:hint="eastAsia"/>
                <w:sz w:val="18"/>
              </w:rPr>
              <w:t>2</w:t>
            </w:r>
            <w:r>
              <w:rPr>
                <w:sz w:val="18"/>
              </w:rPr>
              <w:t>02</w:t>
            </w:r>
            <w:r>
              <w:rPr>
                <w:rFonts w:hint="eastAsia"/>
                <w:sz w:val="18"/>
                <w:lang w:val="en-US" w:eastAsia="zh-CN"/>
              </w:rPr>
              <w:t>4</w:t>
            </w:r>
            <w:r>
              <w:rPr>
                <w:sz w:val="18"/>
              </w:rPr>
              <w:t>.</w:t>
            </w:r>
            <w:r>
              <w:rPr>
                <w:rFonts w:hint="eastAsia"/>
                <w:sz w:val="18"/>
                <w:lang w:val="en-US" w:eastAsia="zh-CN"/>
              </w:rPr>
              <w:t>1</w:t>
            </w:r>
            <w:r>
              <w:rPr>
                <w:rFonts w:hint="eastAsia"/>
                <w:sz w:val="18"/>
              </w:rPr>
              <w:t>-</w:t>
            </w:r>
            <w:r>
              <w:rPr>
                <w:sz w:val="18"/>
              </w:rPr>
              <w:t>202</w:t>
            </w:r>
            <w:r>
              <w:rPr>
                <w:rFonts w:hint="eastAsia"/>
                <w:sz w:val="18"/>
                <w:lang w:val="en-US" w:eastAsia="zh-CN"/>
              </w:rPr>
              <w:t>5</w:t>
            </w:r>
            <w:r>
              <w:rPr>
                <w:sz w:val="18"/>
              </w:rPr>
              <w:t>.</w:t>
            </w:r>
            <w:r>
              <w:rPr>
                <w:rFonts w:hint="eastAsia"/>
                <w:sz w:val="18"/>
                <w:lang w:val="en-US" w:eastAsia="zh-CN"/>
              </w:rPr>
              <w:t>1</w:t>
            </w:r>
            <w:bookmarkStart w:id="0" w:name="_GoBack"/>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目的、意义或必要性</w:t>
            </w:r>
          </w:p>
        </w:tc>
        <w:tc>
          <w:tcPr>
            <w:tcW w:w="7622" w:type="dxa"/>
            <w:gridSpan w:val="10"/>
            <w:tcBorders>
              <w:top w:val="single" w:color="auto" w:sz="4" w:space="0"/>
              <w:left w:val="single" w:color="auto" w:sz="4" w:space="0"/>
              <w:bottom w:val="single" w:color="auto" w:sz="4" w:space="0"/>
              <w:right w:val="single" w:color="auto" w:sz="4" w:space="0"/>
            </w:tcBorders>
            <w:vAlign w:val="center"/>
          </w:tcPr>
          <w:p>
            <w:pPr>
              <w:ind w:firstLine="360" w:firstLineChars="200"/>
              <w:rPr>
                <w:sz w:val="18"/>
              </w:rPr>
            </w:pPr>
            <w:r>
              <w:rPr>
                <w:sz w:val="18"/>
                <w:szCs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中国国家自主贡献》中提出：将于2030年左右使二氧化碳排放达到峰值并争取尽早实现，2030年单位国内生产总值二氧化碳排放比2005年下降60%~65%，非化石能源占一次能源消费比重达20%左右，森林蓄积量比2005年增加45亿立方米左右。</w:t>
            </w:r>
            <w:r>
              <w:rPr>
                <w:rFonts w:hint="eastAsia"/>
                <w:sz w:val="18"/>
              </w:rPr>
              <w:t>产品碳足迹是指沿着产品的整个生命周期，包括从原材料的开采、制造、运输、分销、使用到最终废弃阶段，所产生的温室气体排放，一般采用利用生命周期评价（LCA）法进行评价。产品生产企业可通过产品碳足迹分析,减少企业碳排放行为，并由此采取可行的措施来控制和减少碳排放，提高声誉并强化品牌，改善内部运营，节能减排，获得竞争优势。同时可以有效抵御国外“碳关税”、国内“碳税”政策实施对企业的冲击。此外，产品碳足迹评价也是引导消费者环保行为的有效标识，引导消费决策。</w:t>
            </w:r>
          </w:p>
          <w:p>
            <w:pPr>
              <w:ind w:firstLine="360" w:firstLineChars="200"/>
              <w:rPr>
                <w:sz w:val="18"/>
              </w:rPr>
            </w:pPr>
            <w:r>
              <w:rPr>
                <w:rFonts w:hint="eastAsia"/>
                <w:sz w:val="18"/>
              </w:rPr>
              <w:t>我国政府高度重视低碳发展与应对气候变化工作，随着全球应对气候变化进程不断加快，产品碳足迹评价规范势必为成为引领绿色消费的利剑，具有重要的现实意义和深远的历史意义。</w:t>
            </w:r>
          </w:p>
          <w:p>
            <w:pPr>
              <w:ind w:firstLine="360" w:firstLineChars="200"/>
              <w:rPr>
                <w:sz w:val="18"/>
              </w:rPr>
            </w:pPr>
            <w:r>
              <w:rPr>
                <w:rFonts w:hint="eastAsia"/>
                <w:sz w:val="18"/>
              </w:rPr>
              <w:t>我国石材的应用历史悠久，近30年期间快速发展。其产品种类繁多，按大类分可以分为天然石材和合成石材。虽然我国石材现代化开采加工起步较晚，但是在引进国外先进的开采加工技术和设备后，依靠丰富的资源和低廉的开采加工成本优势，迅速占领了国际市场，使得世界石材加工重心逐渐移向中国，中国成为了世界石材的加工厂。随着我国环保政策的加强，环境污染严重的石材矿山、加工企业及石材集散市场被强制关闭，改造升级一批具有发展潜力的石材矿山和石材企业，绿色、低碳、环保和资源循环综合利用等理念正得到有效贯彻。</w:t>
            </w:r>
          </w:p>
          <w:p>
            <w:pPr>
              <w:ind w:firstLine="360" w:firstLineChars="200"/>
              <w:rPr>
                <w:sz w:val="18"/>
              </w:rPr>
            </w:pPr>
            <w:r>
              <w:rPr>
                <w:rFonts w:hint="eastAsia"/>
                <w:sz w:val="18"/>
              </w:rPr>
              <w:t>石材产业从开采、加工、运输及废弃物回收等整个生产周期都涉及到碳排放，石材的碳足迹主要受石材制造工艺、运输、废料量的影响。据统计，中国石材原料产量现已达到世界第一，加工能力世界第一，外贸出口世界第一。2019年，规模以上企业累计实现主营业务收入2979亿元，国内市场已占到我国石材总销量的90%。从2015年开始，受到总体经济形势的影响，石材增长速度回落。加上环保风暴的影响，大批石材矿山关停，原材料短缺，行业又一次进入了结构调整的过程。在制约石材行业健康可持续发展的问题中，碳足迹标准或将成为发达国家对发展中国家产品的新贸易壁垒，对中国石材出口阻碍尤其严重。越来越多的国际买家基于社会责任等因素考虑，对石材产品的“碳足迹”提出了要求。中国石材企业若能主动迎合“碳足迹”的要求，通过技术创新和供应链优化应对挑战，必能提升产品的附加值。</w:t>
            </w:r>
          </w:p>
          <w:p>
            <w:pPr>
              <w:ind w:firstLine="360" w:firstLineChars="200"/>
              <w:rPr>
                <w:sz w:val="18"/>
              </w:rPr>
            </w:pPr>
            <w:r>
              <w:rPr>
                <w:rFonts w:hint="eastAsia"/>
                <w:sz w:val="18"/>
              </w:rPr>
              <w:t>石材行业不属于高能耗产业，但作为资源型产业，其环保和资源综合利用问题一直是制约产业高质量发展的主要矛盾。通过前期研究发现，石材产品生产过程中能源生产阶段和原料运输阶段对温室气体排放贡献最大，主要由于能源开采和生产以及原料运输过程燃料燃烧直接排放的温室气体造成，占比超过60%。而石材产品生产过程几乎无直接温室气体排放。</w:t>
            </w:r>
          </w:p>
          <w:p>
            <w:pPr>
              <w:ind w:firstLine="360" w:firstLineChars="200"/>
              <w:rPr>
                <w:sz w:val="18"/>
              </w:rPr>
            </w:pPr>
            <w:r>
              <w:rPr>
                <w:rFonts w:hint="eastAsia"/>
                <w:sz w:val="18"/>
              </w:rPr>
              <w:t>产品碳足迹评价以LCA方法为基础可以综合分析天然石材、合成石材等产品在整个生命周期过程中的温室气体相关环境负荷现状，制定产品碳足迹产品种类规则可以规范石材及其制品的碳足迹评价统一的基本规则和要求，为支撑行业碳达峰、碳中和、产品生态设计、绿色选材以及绿色建筑、绿色建材、绿色工厂等相关工作提供可操作的方法。</w:t>
            </w:r>
          </w:p>
          <w:p>
            <w:pPr>
              <w:ind w:firstLine="360" w:firstLineChars="200"/>
              <w:rPr>
                <w:sz w:val="18"/>
              </w:rPr>
            </w:pPr>
            <w:r>
              <w:rPr>
                <w:rFonts w:hint="eastAsia"/>
                <w:sz w:val="18"/>
              </w:rPr>
              <w:t>综上所述，制定《产品碳足迹 产品种类规则 石材》标准非常必要，对推动石材行业的绿色发展、加快绿色产品的研发应用具有重要意义。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范围和主要</w:t>
            </w:r>
          </w:p>
          <w:p>
            <w:pPr>
              <w:rPr>
                <w:sz w:val="18"/>
              </w:rPr>
            </w:pPr>
            <w:r>
              <w:rPr>
                <w:rFonts w:hint="eastAsia"/>
                <w:sz w:val="18"/>
              </w:rPr>
              <w:t>技术内容</w:t>
            </w:r>
          </w:p>
        </w:tc>
        <w:tc>
          <w:tcPr>
            <w:tcW w:w="7622" w:type="dxa"/>
            <w:gridSpan w:val="10"/>
            <w:tcBorders>
              <w:top w:val="single" w:color="auto" w:sz="4" w:space="0"/>
              <w:left w:val="single" w:color="auto" w:sz="4" w:space="0"/>
              <w:bottom w:val="single" w:color="auto" w:sz="4" w:space="0"/>
              <w:right w:val="single" w:color="auto" w:sz="4" w:space="0"/>
            </w:tcBorders>
            <w:vAlign w:val="center"/>
          </w:tcPr>
          <w:p>
            <w:pPr>
              <w:ind w:firstLine="360" w:firstLineChars="200"/>
              <w:rPr>
                <w:sz w:val="18"/>
                <w:szCs w:val="18"/>
              </w:rPr>
            </w:pPr>
            <w:r>
              <w:rPr>
                <w:rFonts w:hint="eastAsia"/>
                <w:sz w:val="18"/>
                <w:szCs w:val="18"/>
              </w:rPr>
              <w:t>本标准规定了</w:t>
            </w:r>
            <w:r>
              <w:rPr>
                <w:rFonts w:hint="eastAsia"/>
                <w:sz w:val="18"/>
              </w:rPr>
              <w:t>石材及石材制品产</w:t>
            </w:r>
            <w:r>
              <w:rPr>
                <w:rFonts w:hint="eastAsia"/>
                <w:sz w:val="18"/>
                <w:szCs w:val="18"/>
              </w:rPr>
              <w:t>品碳足迹评价统一的基本规则和要求，包括产品碳足迹评价的系统边界、功能单位、数据收集方法、质量要求以及碳足迹计算。适用于天然石材、合成石材等。</w:t>
            </w:r>
          </w:p>
          <w:p>
            <w:pPr>
              <w:ind w:firstLine="360" w:firstLineChars="200"/>
              <w:rPr>
                <w:sz w:val="18"/>
                <w:szCs w:val="18"/>
              </w:rPr>
            </w:pPr>
            <w:r>
              <w:rPr>
                <w:rFonts w:hint="eastAsia"/>
                <w:sz w:val="18"/>
                <w:szCs w:val="18"/>
              </w:rPr>
              <w:t>主要技术内容如下：</w:t>
            </w:r>
          </w:p>
          <w:p>
            <w:pPr>
              <w:ind w:firstLine="360" w:firstLineChars="200"/>
              <w:rPr>
                <w:sz w:val="18"/>
                <w:szCs w:val="18"/>
              </w:rPr>
            </w:pPr>
            <w:r>
              <w:rPr>
                <w:rFonts w:hint="eastAsia"/>
                <w:sz w:val="18"/>
                <w:szCs w:val="18"/>
              </w:rPr>
              <w:t>本标准明确了</w:t>
            </w:r>
            <w:r>
              <w:rPr>
                <w:rFonts w:hint="eastAsia"/>
                <w:sz w:val="18"/>
              </w:rPr>
              <w:t>石材</w:t>
            </w:r>
            <w:r>
              <w:rPr>
                <w:rFonts w:hint="eastAsia"/>
                <w:sz w:val="18"/>
                <w:szCs w:val="18"/>
              </w:rPr>
              <w:t>产品的碳足迹评价方法，规定了计算</w:t>
            </w:r>
            <w:r>
              <w:rPr>
                <w:rFonts w:hint="eastAsia"/>
                <w:sz w:val="18"/>
              </w:rPr>
              <w:t>石材</w:t>
            </w:r>
            <w:r>
              <w:rPr>
                <w:rFonts w:hint="eastAsia"/>
                <w:sz w:val="18"/>
                <w:szCs w:val="18"/>
              </w:rPr>
              <w:t>产品碳足迹的过程，包括产品描述、评价范围以及产品碳足迹的计算。其中在评价范围内规定功能单位见下，提出</w:t>
            </w:r>
            <w:r>
              <w:rPr>
                <w:sz w:val="18"/>
                <w:szCs w:val="18"/>
              </w:rPr>
              <w:t>了以</w:t>
            </w:r>
            <w:r>
              <w:rPr>
                <w:rFonts w:hint="eastAsia"/>
                <w:sz w:val="18"/>
                <w:szCs w:val="18"/>
              </w:rPr>
              <w:t>原材料获取、能源获取、利废原料获取、运输以及</w:t>
            </w:r>
            <w:r>
              <w:rPr>
                <w:rFonts w:hint="eastAsia"/>
                <w:sz w:val="18"/>
              </w:rPr>
              <w:t>石材</w:t>
            </w:r>
            <w:r>
              <w:rPr>
                <w:rFonts w:hint="eastAsia"/>
                <w:sz w:val="18"/>
                <w:szCs w:val="18"/>
              </w:rPr>
              <w:t>生产过程组成</w:t>
            </w:r>
            <w:r>
              <w:rPr>
                <w:sz w:val="18"/>
                <w:szCs w:val="18"/>
              </w:rPr>
              <w:t>的系统边界</w:t>
            </w:r>
            <w:r>
              <w:rPr>
                <w:rFonts w:hint="eastAsia"/>
                <w:sz w:val="18"/>
                <w:szCs w:val="18"/>
              </w:rPr>
              <w:t>。</w:t>
            </w:r>
          </w:p>
          <w:p>
            <w:pPr>
              <w:ind w:firstLine="360" w:firstLineChars="200"/>
              <w:rPr>
                <w:sz w:val="18"/>
                <w:szCs w:val="18"/>
              </w:rPr>
            </w:pPr>
            <w:r>
              <w:rPr>
                <w:rFonts w:hint="eastAsia"/>
                <w:sz w:val="18"/>
                <w:szCs w:val="18"/>
              </w:rPr>
              <w:t>明确</w:t>
            </w:r>
            <w:r>
              <w:rPr>
                <w:sz w:val="18"/>
                <w:szCs w:val="18"/>
              </w:rPr>
              <w:t>提出了</w:t>
            </w:r>
            <w:r>
              <w:rPr>
                <w:rFonts w:hint="eastAsia"/>
                <w:sz w:val="18"/>
                <w:szCs w:val="18"/>
              </w:rPr>
              <w:t>产品碳足迹中数据采集、数据计算以及分配过程等计算过程。</w:t>
            </w:r>
          </w:p>
          <w:p>
            <w:pPr>
              <w:ind w:firstLine="360" w:firstLineChars="200"/>
              <w:rPr>
                <w:sz w:val="18"/>
                <w:szCs w:val="18"/>
              </w:rPr>
            </w:pPr>
            <w:r>
              <w:rPr>
                <w:rFonts w:hint="eastAsia"/>
                <w:sz w:val="18"/>
                <w:szCs w:val="18"/>
              </w:rPr>
              <w:t>明确提出</w:t>
            </w:r>
            <w:r>
              <w:rPr>
                <w:sz w:val="18"/>
                <w:szCs w:val="18"/>
              </w:rPr>
              <w:t>了</w:t>
            </w:r>
            <w:r>
              <w:rPr>
                <w:rFonts w:hint="eastAsia"/>
                <w:sz w:val="18"/>
              </w:rPr>
              <w:t>石材</w:t>
            </w:r>
            <w:r>
              <w:rPr>
                <w:rFonts w:hint="eastAsia"/>
                <w:sz w:val="18"/>
                <w:szCs w:val="18"/>
              </w:rPr>
              <w:t>产品碳足迹报告内容的要求。规定依据本标准编制碳足迹应包括的一些内容。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17"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国内外情况</w:t>
            </w:r>
          </w:p>
          <w:p>
            <w:pPr>
              <w:rPr>
                <w:sz w:val="18"/>
              </w:rPr>
            </w:pPr>
            <w:r>
              <w:rPr>
                <w:rFonts w:hint="eastAsia"/>
                <w:sz w:val="18"/>
              </w:rPr>
              <w:t>简要说明</w:t>
            </w:r>
          </w:p>
        </w:tc>
        <w:tc>
          <w:tcPr>
            <w:tcW w:w="7622" w:type="dxa"/>
            <w:gridSpan w:val="10"/>
            <w:tcBorders>
              <w:top w:val="single" w:color="auto" w:sz="4" w:space="0"/>
              <w:left w:val="single" w:color="auto" w:sz="4" w:space="0"/>
              <w:bottom w:val="single" w:color="auto" w:sz="4" w:space="0"/>
              <w:right w:val="single" w:color="auto" w:sz="4" w:space="0"/>
            </w:tcBorders>
            <w:vAlign w:val="center"/>
          </w:tcPr>
          <w:p>
            <w:pPr>
              <w:numPr>
                <w:ilvl w:val="0"/>
                <w:numId w:val="1"/>
              </w:numPr>
              <w:rPr>
                <w:sz w:val="18"/>
              </w:rPr>
            </w:pPr>
            <w:r>
              <w:rPr>
                <w:rFonts w:hint="eastAsia"/>
                <w:sz w:val="18"/>
                <w:u w:val="single"/>
              </w:rPr>
              <w:t>国内外对该技术研究情况简要说明</w:t>
            </w:r>
            <w:r>
              <w:rPr>
                <w:rFonts w:hint="eastAsia"/>
                <w:sz w:val="18"/>
              </w:rPr>
              <w:t>：</w:t>
            </w:r>
          </w:p>
          <w:p>
            <w:pPr>
              <w:ind w:firstLine="360" w:firstLineChars="200"/>
              <w:rPr>
                <w:sz w:val="18"/>
              </w:rPr>
            </w:pPr>
            <w:r>
              <w:rPr>
                <w:rFonts w:hint="eastAsia"/>
                <w:sz w:val="18"/>
              </w:rPr>
              <w:t>国际上广泛应用于产品的碳足迹核算标准有PAS2050：2008《商品和服务在生命周期内的温室气体排放评价规范》、GHG protocol（2011）《温室气体核算体系》和ISO 14067（2013）《温室气体排放 产品碳足迹 量化要求和指南》。其中， PAS2050：2008是全世界第一个产品碳足迹核算标准， GHG protocol（2011）是世界资源研究所和世界可持续发展工商理事会正式发布的标准，是要求最为详细的碳足迹核算标准。ISO14067是由国际标准化组织发布，该标准被认为是更具普遍性的标准，提供了最近的要求和指导。</w:t>
            </w:r>
          </w:p>
          <w:p>
            <w:pPr>
              <w:ind w:firstLine="360" w:firstLineChars="200"/>
              <w:rPr>
                <w:sz w:val="18"/>
              </w:rPr>
            </w:pPr>
            <w:r>
              <w:rPr>
                <w:rFonts w:hint="eastAsia"/>
                <w:sz w:val="18"/>
              </w:rPr>
              <w:t>我国开展碳足迹研究相对较晚，尚未形成完善的标准体系，目前国内外主要碳足迹、碳中和规范有：PAS 2050：2008《商品和服务在生命周期内的温室气体排放评价规范》，ISO14040：2006《环境管理  生命周期评估：原则与框架》，ISO14044：2006《环境管理  产品生命周期评价  要求和导则》，PAS 2060：2010《碳中和证明规范》，ISO14067：2013《温室气体排放 产品碳足迹 量化要求和指南》、深圳产品碳足迹评价通则等。</w:t>
            </w:r>
          </w:p>
          <w:p>
            <w:pPr>
              <w:numPr>
                <w:ilvl w:val="0"/>
                <w:numId w:val="1"/>
              </w:numPr>
              <w:rPr>
                <w:sz w:val="18"/>
              </w:rPr>
            </w:pPr>
            <w:r>
              <w:rPr>
                <w:rFonts w:hint="eastAsia"/>
                <w:sz w:val="18"/>
                <w:u w:val="single"/>
              </w:rPr>
              <w:t>项目与国际标准或国外先进标准采用程度的考虑：</w:t>
            </w:r>
          </w:p>
          <w:p>
            <w:pPr>
              <w:snapToGrid w:val="0"/>
              <w:spacing w:line="360" w:lineRule="auto"/>
              <w:ind w:firstLine="360" w:firstLineChars="200"/>
              <w:rPr>
                <w:sz w:val="18"/>
                <w:szCs w:val="18"/>
              </w:rPr>
            </w:pPr>
            <w:r>
              <w:rPr>
                <w:sz w:val="18"/>
                <w:szCs w:val="18"/>
              </w:rPr>
              <w:t>PAS 2050 《商品和服务在生命周期内的温室气体排放评价规范》是第一个产品碳足迹核算标准，也是 ISO 14067 《温室气体排放 产品碳足迹 量化要求和指南》正式出台前应用最广的产品碳足迹评价规范，于 2008 年10 月公布，旨在对评估产品和服务生命周期内温室气体排放的要求做出明确的规定，使公司、客户和其他利益相关方通过对产品碳足迹的核算，在第一时间采取对于环境有益的恰当决策。PAS 2050 在2011 年进行了更新，更新后的版本对产品碳足迹核算提供了更加详细的要求和指导。参考ISO14040/44和PAS2050，世界其它国纷纷兴起制定适合本国的产品碳足迹（CFP） 计算标准，如世界资源研究所和世界可持续发展工商理事会 （WRI/WBCSD） 共同发起制定的“温室气体议定书”，日本标准TS Q0010-2009 《日本温室气体排放评价指南》，以及BP X30-323《碳标识计划一般性准则文件》。随之而来的是不同碳足迹评价标准引发了国际上对不同计算标准建立的CFP信息不能进行有意义比较的疑虑。因此，尽快建立一套全球统一的产品碳足迹标准势在必行。</w:t>
            </w:r>
          </w:p>
          <w:p>
            <w:pPr>
              <w:snapToGrid w:val="0"/>
              <w:spacing w:line="360" w:lineRule="auto"/>
              <w:ind w:firstLine="360" w:firstLineChars="200"/>
              <w:rPr>
                <w:rFonts w:ascii="宋体" w:hAnsi="宋体"/>
                <w:sz w:val="18"/>
                <w:szCs w:val="18"/>
              </w:rPr>
            </w:pPr>
            <w:r>
              <w:rPr>
                <w:sz w:val="18"/>
                <w:szCs w:val="18"/>
              </w:rPr>
              <w:t>2008 年 1 月，国际标准化组织（ISO）成立工作组并着手编制产品碳足迹的国际标准 ISO 14067《温室气体排放 产品碳足迹 量化要求和指南》。新标准主要是基于现存的 ISO标准：ISO 14040/44（生命周期评估）及 ISO 14025（环境标签） 《环境标志和声明  III型环境声明  原则和程序》。2012年 10 月，ISO 14067（2012）国际标准草案版公布。2013 年 5 月，其作为技术规范（technical specification）发表，全称为 ISO/TS 14067: 2013 温室气体 - 产品碳足迹-量化与沟通的规则与指南（ISO/TS14067:2013 Greenhouse gases - carbon footprint of products Require-ments and guidelines for quantification and communication）。为产品整个生命周期中的温室气体排放量的评估提供标准，令产品碳足迹能有效地在供应链、顾客及其他利益相关者之间沟通，并且为基于比较目的的计算结果提供了一个公认的根据ISO14067将首次实现产品和服务生命周期中二氧化碳排放量化，并确保相关数值可以在全球范围比较。</w:t>
            </w:r>
          </w:p>
          <w:p>
            <w:pPr>
              <w:numPr>
                <w:ilvl w:val="0"/>
                <w:numId w:val="1"/>
              </w:numPr>
              <w:rPr>
                <w:sz w:val="18"/>
              </w:rPr>
            </w:pPr>
            <w:r>
              <w:rPr>
                <w:rFonts w:hint="eastAsia"/>
                <w:sz w:val="18"/>
                <w:u w:val="single"/>
              </w:rPr>
              <w:t>与国内相关标准间的关系：</w:t>
            </w:r>
          </w:p>
          <w:p>
            <w:pPr>
              <w:ind w:firstLine="360" w:firstLineChars="200"/>
              <w:contextualSpacing/>
              <w:rPr>
                <w:sz w:val="18"/>
                <w:szCs w:val="18"/>
              </w:rPr>
            </w:pPr>
            <w:r>
              <w:rPr>
                <w:rFonts w:hint="eastAsia"/>
                <w:sz w:val="18"/>
                <w:szCs w:val="18"/>
              </w:rPr>
              <w:t>本标准的标准框架及计算方法可参考国内出台的产品碳足迹相关的标准，包括</w:t>
            </w:r>
            <w:r>
              <w:rPr>
                <w:sz w:val="18"/>
                <w:szCs w:val="18"/>
              </w:rPr>
              <w:t>SJ/T 11717-2018</w:t>
            </w:r>
            <w:r>
              <w:rPr>
                <w:rFonts w:hint="eastAsia"/>
                <w:sz w:val="18"/>
                <w:szCs w:val="18"/>
              </w:rPr>
              <w:t>《产品碳足迹 产品种类规则 液晶显示器》、SJ/T 11718-2018《产品碳足迹 产品种类规则 液晶电视机》、SJ/T 11735-2019《产品碳足迹 产品种类规则 便携式计算机》、SJ/T 11736-2019《产品碳足迹 产品种类规则 台式微型计算机》、DB31/T 1071-2017《产品碳足迹核算通则》、DB11/T 1860-2021《电子信息产品碳足迹核算指南》等。</w:t>
            </w:r>
          </w:p>
          <w:p>
            <w:pPr>
              <w:ind w:firstLine="360" w:firstLineChars="200"/>
              <w:contextualSpacing/>
              <w:rPr>
                <w:sz w:val="18"/>
                <w:szCs w:val="18"/>
              </w:rPr>
            </w:pPr>
            <w:r>
              <w:rPr>
                <w:rFonts w:hint="eastAsia"/>
                <w:sz w:val="18"/>
                <w:szCs w:val="18"/>
              </w:rPr>
              <w:t>此外</w:t>
            </w:r>
            <w:r>
              <w:rPr>
                <w:sz w:val="18"/>
                <w:szCs w:val="18"/>
              </w:rPr>
              <w:t>，</w:t>
            </w:r>
            <w:r>
              <w:rPr>
                <w:rFonts w:hint="eastAsia"/>
                <w:sz w:val="18"/>
                <w:szCs w:val="18"/>
              </w:rPr>
              <w:t>建材</w:t>
            </w:r>
            <w:r>
              <w:rPr>
                <w:sz w:val="18"/>
                <w:szCs w:val="18"/>
              </w:rPr>
              <w:t>行业已立项</w:t>
            </w:r>
            <w:r>
              <w:rPr>
                <w:rFonts w:hint="eastAsia"/>
                <w:sz w:val="18"/>
                <w:szCs w:val="18"/>
              </w:rPr>
              <w:t>编制的</w:t>
            </w:r>
            <w:r>
              <w:rPr>
                <w:sz w:val="18"/>
                <w:szCs w:val="18"/>
              </w:rPr>
              <w:t>行业标准</w:t>
            </w:r>
            <w:r>
              <w:rPr>
                <w:rFonts w:hint="eastAsia"/>
                <w:sz w:val="18"/>
                <w:szCs w:val="18"/>
              </w:rPr>
              <w:t>有：</w:t>
            </w:r>
            <w:r>
              <w:rPr>
                <w:sz w:val="18"/>
                <w:szCs w:val="18"/>
              </w:rPr>
              <w:t>《</w:t>
            </w:r>
            <w:r>
              <w:rPr>
                <w:rFonts w:hint="eastAsia"/>
                <w:sz w:val="18"/>
                <w:szCs w:val="18"/>
              </w:rPr>
              <w:t>产品</w:t>
            </w:r>
            <w:r>
              <w:rPr>
                <w:sz w:val="18"/>
                <w:szCs w:val="18"/>
              </w:rPr>
              <w:t>碳足迹</w:t>
            </w:r>
            <w:r>
              <w:rPr>
                <w:rFonts w:hint="eastAsia"/>
                <w:sz w:val="18"/>
                <w:szCs w:val="18"/>
              </w:rPr>
              <w:t xml:space="preserve"> 产品</w:t>
            </w:r>
            <w:r>
              <w:rPr>
                <w:sz w:val="18"/>
                <w:szCs w:val="18"/>
              </w:rPr>
              <w:t>种类规则</w:t>
            </w:r>
            <w:r>
              <w:rPr>
                <w:rFonts w:hint="eastAsia"/>
                <w:sz w:val="18"/>
                <w:szCs w:val="18"/>
              </w:rPr>
              <w:t xml:space="preserve"> 水泥</w:t>
            </w:r>
            <w:r>
              <w:rPr>
                <w:sz w:val="18"/>
                <w:szCs w:val="18"/>
              </w:rPr>
              <w:t>》</w:t>
            </w:r>
            <w:r>
              <w:rPr>
                <w:rFonts w:hint="eastAsia"/>
                <w:sz w:val="18"/>
                <w:szCs w:val="18"/>
              </w:rPr>
              <w:t>（RB/T XXXX）以及</w:t>
            </w:r>
            <w:r>
              <w:rPr>
                <w:sz w:val="18"/>
                <w:szCs w:val="18"/>
              </w:rPr>
              <w:t>《</w:t>
            </w:r>
            <w:r>
              <w:rPr>
                <w:rFonts w:hint="eastAsia"/>
                <w:sz w:val="18"/>
                <w:szCs w:val="18"/>
              </w:rPr>
              <w:t>产品</w:t>
            </w:r>
            <w:r>
              <w:rPr>
                <w:sz w:val="18"/>
                <w:szCs w:val="18"/>
              </w:rPr>
              <w:t>碳足迹</w:t>
            </w:r>
            <w:r>
              <w:rPr>
                <w:rFonts w:hint="eastAsia"/>
                <w:sz w:val="18"/>
                <w:szCs w:val="18"/>
              </w:rPr>
              <w:t xml:space="preserve"> 产品</w:t>
            </w:r>
            <w:r>
              <w:rPr>
                <w:sz w:val="18"/>
                <w:szCs w:val="18"/>
              </w:rPr>
              <w:t>种类规则</w:t>
            </w:r>
            <w:r>
              <w:rPr>
                <w:rFonts w:hint="eastAsia"/>
                <w:sz w:val="18"/>
                <w:szCs w:val="18"/>
              </w:rPr>
              <w:t xml:space="preserve"> 预拌混凝土</w:t>
            </w:r>
            <w:r>
              <w:rPr>
                <w:sz w:val="18"/>
                <w:szCs w:val="18"/>
              </w:rPr>
              <w:t>》</w:t>
            </w:r>
            <w:r>
              <w:rPr>
                <w:rFonts w:hint="eastAsia"/>
                <w:sz w:val="18"/>
                <w:szCs w:val="18"/>
              </w:rPr>
              <w:t>（RB/T XXXX），已发布实施的建材行业标准有：《产品碳足迹 产品种类规则 平板玻璃》（2021-1776T-JC）、《产品碳足迹 产品种类规则 金属复合装饰材料》（2021-1777T-JC）、《产品碳足迹 产品种类规则 人造板和木质地板》（2021-1778T-JC）、《产品碳足迹 产品种类规则 预拌砂浆》（2021-1779T-JC）、《产品碳足迹 产品种类规则 岩（矿）棉及其制品》（2021-1780T-JC）、《产品碳足迹 产品种类规则 墙体材料》（2021-1781T-JC）、《产品碳足迹 产品种类规则 建筑卫生陶瓷》（2021-1782T-JC）等，上述标准均可为本标准的制定提供参考。</w:t>
            </w:r>
          </w:p>
          <w:p>
            <w:pPr>
              <w:numPr>
                <w:ilvl w:val="0"/>
                <w:numId w:val="1"/>
              </w:numPr>
              <w:rPr>
                <w:sz w:val="18"/>
              </w:rPr>
            </w:pPr>
            <w:r>
              <w:rPr>
                <w:rFonts w:hint="eastAsia"/>
                <w:sz w:val="18"/>
                <w:u w:val="single"/>
              </w:rPr>
              <w:t>指出是否发现有知识产权的问题</w:t>
            </w:r>
            <w:r>
              <w:rPr>
                <w:rFonts w:hint="eastAsia"/>
                <w:sz w:val="18"/>
              </w:rPr>
              <w:t>；</w:t>
            </w:r>
          </w:p>
          <w:p>
            <w:pPr>
              <w:ind w:left="360"/>
              <w:rPr>
                <w:sz w:val="18"/>
              </w:rPr>
            </w:pPr>
            <w:r>
              <w:rPr>
                <w:rFonts w:hint="eastAsia"/>
                <w:sz w:val="18"/>
              </w:rPr>
              <w:t>本标准不涉及知识产权的问题。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szCs w:val="18"/>
              </w:rPr>
              <w:t>牵头</w:t>
            </w:r>
            <w:r>
              <w:rPr>
                <w:rFonts w:hint="eastAsia"/>
                <w:sz w:val="18"/>
              </w:rPr>
              <w:t>单位</w:t>
            </w:r>
          </w:p>
        </w:tc>
        <w:tc>
          <w:tcPr>
            <w:tcW w:w="1556" w:type="dxa"/>
            <w:gridSpan w:val="3"/>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pPr>
            <w:r>
              <w:rPr>
                <w:rFonts w:hint="eastAsia"/>
              </w:rPr>
              <w:t>（签字、盖公章）</w:t>
            </w:r>
          </w:p>
          <w:p>
            <w:pPr>
              <w:pStyle w:val="4"/>
              <w:pBdr>
                <w:bottom w:val="none" w:color="auto" w:sz="0" w:space="0"/>
              </w:pBdr>
              <w:tabs>
                <w:tab w:val="left" w:pos="420"/>
              </w:tabs>
              <w:snapToGrid/>
              <w:jc w:val="both"/>
            </w:pPr>
          </w:p>
          <w:p>
            <w:pPr>
              <w:pStyle w:val="4"/>
              <w:pBdr>
                <w:bottom w:val="none" w:color="auto" w:sz="0" w:space="0"/>
              </w:pBdr>
              <w:tabs>
                <w:tab w:val="left" w:pos="420"/>
              </w:tabs>
              <w:snapToGrid/>
              <w:ind w:firstLine="450" w:firstLineChars="250"/>
              <w:jc w:val="both"/>
            </w:pPr>
            <w:r>
              <w:rPr>
                <w:rFonts w:hint="eastAsia"/>
              </w:rPr>
              <w:t>月</w:t>
            </w:r>
            <w:r>
              <w:t xml:space="preserve">    </w:t>
            </w:r>
            <w:r>
              <w:rPr>
                <w:rFonts w:hint="eastAsia"/>
              </w:rPr>
              <w:t>日</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标准化技术组织</w:t>
            </w:r>
          </w:p>
        </w:tc>
        <w:tc>
          <w:tcPr>
            <w:tcW w:w="1525" w:type="dxa"/>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pPr>
            <w:r>
              <w:rPr>
                <w:rFonts w:hint="eastAsia"/>
              </w:rPr>
              <w:t>（签字、盖公章）</w:t>
            </w:r>
          </w:p>
          <w:p>
            <w:pPr>
              <w:pStyle w:val="4"/>
              <w:pBdr>
                <w:bottom w:val="none" w:color="auto" w:sz="0" w:space="0"/>
              </w:pBdr>
              <w:tabs>
                <w:tab w:val="left" w:pos="420"/>
              </w:tabs>
              <w:snapToGrid/>
              <w:jc w:val="both"/>
            </w:pPr>
          </w:p>
          <w:p>
            <w:pPr>
              <w:pStyle w:val="4"/>
              <w:pBdr>
                <w:bottom w:val="none" w:color="auto" w:sz="0" w:space="0"/>
              </w:pBdr>
              <w:tabs>
                <w:tab w:val="left" w:pos="420"/>
              </w:tabs>
              <w:snapToGrid/>
              <w:ind w:firstLine="540" w:firstLineChars="300"/>
              <w:jc w:val="both"/>
            </w:pPr>
            <w:r>
              <w:rPr>
                <w:rFonts w:hint="eastAsia"/>
              </w:rPr>
              <w:t>月</w:t>
            </w:r>
            <w:r>
              <w:t xml:space="preserve">    </w:t>
            </w:r>
            <w:r>
              <w:rPr>
                <w:rFonts w:hint="eastAsia"/>
              </w:rPr>
              <w:t>日</w:t>
            </w:r>
          </w:p>
        </w:tc>
        <w:tc>
          <w:tcPr>
            <w:tcW w:w="1516" w:type="dxa"/>
            <w:gridSpan w:val="3"/>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部委托机构</w:t>
            </w:r>
          </w:p>
        </w:tc>
        <w:tc>
          <w:tcPr>
            <w:tcW w:w="1517" w:type="dxa"/>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pPr>
            <w:r>
              <w:rPr>
                <w:rFonts w:hint="eastAsia"/>
              </w:rPr>
              <w:t>（签字、盖公章）</w:t>
            </w:r>
          </w:p>
          <w:p>
            <w:pPr>
              <w:pStyle w:val="4"/>
              <w:pBdr>
                <w:bottom w:val="none" w:color="auto" w:sz="0" w:space="0"/>
              </w:pBdr>
              <w:tabs>
                <w:tab w:val="left" w:pos="420"/>
              </w:tabs>
              <w:snapToGrid/>
              <w:jc w:val="both"/>
            </w:pPr>
          </w:p>
          <w:p>
            <w:pPr>
              <w:pStyle w:val="4"/>
              <w:pBdr>
                <w:bottom w:val="none" w:color="auto" w:sz="0" w:space="0"/>
              </w:pBdr>
              <w:tabs>
                <w:tab w:val="left" w:pos="420"/>
              </w:tabs>
              <w:snapToGrid/>
              <w:ind w:firstLine="450" w:firstLineChars="250"/>
              <w:jc w:val="both"/>
            </w:pPr>
            <w:r>
              <w:rPr>
                <w:rFonts w:hint="eastAsia"/>
              </w:rPr>
              <w:t>月</w:t>
            </w:r>
            <w:r>
              <w:t xml:space="preserve">    </w:t>
            </w:r>
            <w:r>
              <w:rPr>
                <w:rFonts w:hint="eastAsia"/>
              </w:rPr>
              <w:t>日</w:t>
            </w:r>
          </w:p>
        </w:tc>
      </w:tr>
    </w:tbl>
    <w:p>
      <w:pPr>
        <w:ind w:firstLine="360" w:firstLineChars="200"/>
        <w:rPr>
          <w:sz w:val="18"/>
          <w:szCs w:val="18"/>
        </w:rPr>
      </w:pPr>
      <w:r>
        <w:rPr>
          <w:rFonts w:hint="eastAsia"/>
          <w:sz w:val="18"/>
          <w:szCs w:val="18"/>
        </w:rPr>
        <w:t>注：1.填写制定或修订项目中，若选择修订必须填写被修订标准号；</w:t>
      </w:r>
    </w:p>
    <w:p>
      <w:pPr>
        <w:ind w:firstLine="720" w:firstLineChars="400"/>
        <w:rPr>
          <w:sz w:val="18"/>
          <w:szCs w:val="18"/>
        </w:rPr>
      </w:pPr>
      <w:r>
        <w:rPr>
          <w:rFonts w:hint="eastAsia"/>
          <w:sz w:val="18"/>
          <w:szCs w:val="18"/>
        </w:rPr>
        <w:t>2.选择采用国际标准，必须填写采标号及采用程度；</w:t>
      </w:r>
    </w:p>
    <w:p>
      <w:r>
        <w:rPr>
          <w:rFonts w:hint="eastAsia"/>
          <w:sz w:val="18"/>
          <w:szCs w:val="18"/>
        </w:rPr>
        <w:t>3.选择采用快速程序，必须填写快速程序代码。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A63FB"/>
    <w:multiLevelType w:val="multilevel"/>
    <w:tmpl w:val="4A3A63FB"/>
    <w:lvl w:ilvl="0" w:tentative="0">
      <w:start w:val="1"/>
      <w:numFmt w:val="decimal"/>
      <w:lvlText w:val="%1."/>
      <w:lvlJc w:val="left"/>
      <w:pPr>
        <w:tabs>
          <w:tab w:val="left" w:pos="360"/>
        </w:tabs>
        <w:ind w:left="360" w:hanging="360"/>
      </w:pPr>
      <w:rPr>
        <w:u w:val="single"/>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1YTQxNzg3MmVhMWYzNTI0NmRjODFmMDE2MGM3NTAifQ=="/>
  </w:docVars>
  <w:rsids>
    <w:rsidRoot w:val="00D94DE0"/>
    <w:rsid w:val="00023E6B"/>
    <w:rsid w:val="00076183"/>
    <w:rsid w:val="000A09C3"/>
    <w:rsid w:val="000A172B"/>
    <w:rsid w:val="000B660E"/>
    <w:rsid w:val="000C1411"/>
    <w:rsid w:val="000D2684"/>
    <w:rsid w:val="000F1E95"/>
    <w:rsid w:val="00100549"/>
    <w:rsid w:val="00126298"/>
    <w:rsid w:val="00161093"/>
    <w:rsid w:val="00165D07"/>
    <w:rsid w:val="001C1F67"/>
    <w:rsid w:val="001E5373"/>
    <w:rsid w:val="001F3A5C"/>
    <w:rsid w:val="001F512A"/>
    <w:rsid w:val="002105B6"/>
    <w:rsid w:val="00246FBD"/>
    <w:rsid w:val="00280AB1"/>
    <w:rsid w:val="002A62B6"/>
    <w:rsid w:val="002D059B"/>
    <w:rsid w:val="002D1C6A"/>
    <w:rsid w:val="002D3204"/>
    <w:rsid w:val="002F009B"/>
    <w:rsid w:val="003003A8"/>
    <w:rsid w:val="00303A91"/>
    <w:rsid w:val="00304D5C"/>
    <w:rsid w:val="00310850"/>
    <w:rsid w:val="0031195C"/>
    <w:rsid w:val="00320F24"/>
    <w:rsid w:val="00324FAF"/>
    <w:rsid w:val="00327FFA"/>
    <w:rsid w:val="00331A85"/>
    <w:rsid w:val="0033376B"/>
    <w:rsid w:val="00390333"/>
    <w:rsid w:val="003B7297"/>
    <w:rsid w:val="003E5BDF"/>
    <w:rsid w:val="003E5FA7"/>
    <w:rsid w:val="003F20EF"/>
    <w:rsid w:val="00417075"/>
    <w:rsid w:val="00417A3C"/>
    <w:rsid w:val="00440002"/>
    <w:rsid w:val="004508A6"/>
    <w:rsid w:val="0045233F"/>
    <w:rsid w:val="00461B78"/>
    <w:rsid w:val="00493D0F"/>
    <w:rsid w:val="004D06F5"/>
    <w:rsid w:val="004F3A74"/>
    <w:rsid w:val="004F5800"/>
    <w:rsid w:val="005045C1"/>
    <w:rsid w:val="00515E4E"/>
    <w:rsid w:val="00532D27"/>
    <w:rsid w:val="0055417E"/>
    <w:rsid w:val="00577475"/>
    <w:rsid w:val="00583B22"/>
    <w:rsid w:val="005A4B9F"/>
    <w:rsid w:val="005B42EF"/>
    <w:rsid w:val="00601E87"/>
    <w:rsid w:val="00613B15"/>
    <w:rsid w:val="006E38AB"/>
    <w:rsid w:val="00700D08"/>
    <w:rsid w:val="007474FE"/>
    <w:rsid w:val="00762C08"/>
    <w:rsid w:val="007A4AE9"/>
    <w:rsid w:val="007B488C"/>
    <w:rsid w:val="007D6AE3"/>
    <w:rsid w:val="007E3140"/>
    <w:rsid w:val="007F5A9D"/>
    <w:rsid w:val="007F69BF"/>
    <w:rsid w:val="00826A39"/>
    <w:rsid w:val="0083556C"/>
    <w:rsid w:val="0083626E"/>
    <w:rsid w:val="008405FF"/>
    <w:rsid w:val="0085044A"/>
    <w:rsid w:val="008977E3"/>
    <w:rsid w:val="008A7F91"/>
    <w:rsid w:val="008D2DD8"/>
    <w:rsid w:val="008D30B5"/>
    <w:rsid w:val="008D7445"/>
    <w:rsid w:val="008F6FC7"/>
    <w:rsid w:val="00925C13"/>
    <w:rsid w:val="00941D88"/>
    <w:rsid w:val="009502CA"/>
    <w:rsid w:val="00963575"/>
    <w:rsid w:val="009A423E"/>
    <w:rsid w:val="009F0251"/>
    <w:rsid w:val="009F4222"/>
    <w:rsid w:val="00A203F5"/>
    <w:rsid w:val="00A30E62"/>
    <w:rsid w:val="00A409D6"/>
    <w:rsid w:val="00A729BE"/>
    <w:rsid w:val="00AD1C74"/>
    <w:rsid w:val="00AE0724"/>
    <w:rsid w:val="00AE13B2"/>
    <w:rsid w:val="00AE6150"/>
    <w:rsid w:val="00B40891"/>
    <w:rsid w:val="00B53888"/>
    <w:rsid w:val="00B848BA"/>
    <w:rsid w:val="00B86EF3"/>
    <w:rsid w:val="00BB3071"/>
    <w:rsid w:val="00BB7C73"/>
    <w:rsid w:val="00BD44B5"/>
    <w:rsid w:val="00BE7A51"/>
    <w:rsid w:val="00BF3925"/>
    <w:rsid w:val="00C04E8F"/>
    <w:rsid w:val="00C05497"/>
    <w:rsid w:val="00C14564"/>
    <w:rsid w:val="00C7673C"/>
    <w:rsid w:val="00C8176A"/>
    <w:rsid w:val="00CA4363"/>
    <w:rsid w:val="00CC0C60"/>
    <w:rsid w:val="00CD0193"/>
    <w:rsid w:val="00D06A3B"/>
    <w:rsid w:val="00D17729"/>
    <w:rsid w:val="00D21EBD"/>
    <w:rsid w:val="00D45C60"/>
    <w:rsid w:val="00D65B7B"/>
    <w:rsid w:val="00D72C40"/>
    <w:rsid w:val="00D94DE0"/>
    <w:rsid w:val="00DA5E9B"/>
    <w:rsid w:val="00DB681E"/>
    <w:rsid w:val="00DC2F35"/>
    <w:rsid w:val="00DD2AAC"/>
    <w:rsid w:val="00DF107D"/>
    <w:rsid w:val="00E23FDD"/>
    <w:rsid w:val="00E4376C"/>
    <w:rsid w:val="00E5042E"/>
    <w:rsid w:val="00E5053B"/>
    <w:rsid w:val="00E618EB"/>
    <w:rsid w:val="00E75B78"/>
    <w:rsid w:val="00E84C0A"/>
    <w:rsid w:val="00EB7E93"/>
    <w:rsid w:val="00EC51A4"/>
    <w:rsid w:val="00ED3965"/>
    <w:rsid w:val="00ED759B"/>
    <w:rsid w:val="00F0510E"/>
    <w:rsid w:val="00F20CAE"/>
    <w:rsid w:val="00F534A7"/>
    <w:rsid w:val="00F84F0B"/>
    <w:rsid w:val="00F85C6B"/>
    <w:rsid w:val="00FC6E3A"/>
    <w:rsid w:val="00FD16FB"/>
    <w:rsid w:val="04666A41"/>
    <w:rsid w:val="049D0B89"/>
    <w:rsid w:val="139E5014"/>
    <w:rsid w:val="17B730F8"/>
    <w:rsid w:val="1E1F73F8"/>
    <w:rsid w:val="23230D66"/>
    <w:rsid w:val="23594471"/>
    <w:rsid w:val="241F3952"/>
    <w:rsid w:val="278B33C7"/>
    <w:rsid w:val="28560F8A"/>
    <w:rsid w:val="34B87A7E"/>
    <w:rsid w:val="37536EF6"/>
    <w:rsid w:val="39BC2D32"/>
    <w:rsid w:val="3F9A4F78"/>
    <w:rsid w:val="44880752"/>
    <w:rsid w:val="4E7D7EFC"/>
    <w:rsid w:val="521143AE"/>
    <w:rsid w:val="54483344"/>
    <w:rsid w:val="5EF259FD"/>
    <w:rsid w:val="694A3438"/>
    <w:rsid w:val="7263082B"/>
    <w:rsid w:val="74EC1E67"/>
    <w:rsid w:val="75ED7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footer"/>
    <w:basedOn w:val="1"/>
    <w:link w:val="12"/>
    <w:autoRedefine/>
    <w:unhideWhenUsed/>
    <w:qFormat/>
    <w:uiPriority w:val="99"/>
    <w:pPr>
      <w:tabs>
        <w:tab w:val="center" w:pos="4153"/>
        <w:tab w:val="right" w:pos="8306"/>
      </w:tabs>
      <w:snapToGrid w:val="0"/>
      <w:jc w:val="left"/>
    </w:pPr>
    <w:rPr>
      <w:sz w:val="18"/>
      <w:szCs w:val="18"/>
    </w:rPr>
  </w:style>
  <w:style w:type="paragraph" w:styleId="4">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Autospacing="1" w:afterAutospacing="1"/>
      <w:jc w:val="left"/>
    </w:pPr>
    <w:rPr>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autoRedefine/>
    <w:semiHidden/>
    <w:unhideWhenUsed/>
    <w:qFormat/>
    <w:uiPriority w:val="99"/>
    <w:rPr>
      <w:color w:val="0000FF"/>
      <w:u w:val="single"/>
    </w:rPr>
  </w:style>
  <w:style w:type="character" w:styleId="10">
    <w:name w:val="annotation reference"/>
    <w:basedOn w:val="8"/>
    <w:autoRedefine/>
    <w:semiHidden/>
    <w:unhideWhenUsed/>
    <w:qFormat/>
    <w:uiPriority w:val="99"/>
    <w:rPr>
      <w:sz w:val="21"/>
      <w:szCs w:val="21"/>
    </w:rPr>
  </w:style>
  <w:style w:type="character" w:customStyle="1" w:styleId="11">
    <w:name w:val="页眉 字符"/>
    <w:basedOn w:val="8"/>
    <w:link w:val="4"/>
    <w:autoRedefine/>
    <w:qFormat/>
    <w:uiPriority w:val="0"/>
    <w:rPr>
      <w:rFonts w:ascii="Times New Roman" w:hAnsi="Times New Roman" w:eastAsia="宋体" w:cs="Times New Roman"/>
      <w:sz w:val="18"/>
      <w:szCs w:val="18"/>
    </w:rPr>
  </w:style>
  <w:style w:type="character" w:customStyle="1" w:styleId="12">
    <w:name w:val="页脚 字符"/>
    <w:basedOn w:val="8"/>
    <w:link w:val="3"/>
    <w:autoRedefine/>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679</Words>
  <Characters>3874</Characters>
  <Lines>32</Lines>
  <Paragraphs>9</Paragraphs>
  <TotalTime>0</TotalTime>
  <ScaleCrop>false</ScaleCrop>
  <LinksUpToDate>false</LinksUpToDate>
  <CharactersWithSpaces>4544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2018-08-01T03:54:00Z</dcterms:created>
  <dc:creator>zh</dc:creator>
  <cp:lastModifiedBy>瑞〰瑞®</cp:lastModifiedBy>
  <cp:lastPrinted>2024-01-25T02:32:32Z</cp:lastPrinted>
  <dcterms:modified xsi:type="dcterms:W3CDTF">2024-01-25T02:35:28Z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5DF4906BA8714EC19608F1AF247948F6_13</vt:lpwstr>
  </property>
</Properties>
</file>